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23297">
      <w:pPr>
        <w:jc w:val="center"/>
        <w:rPr>
          <w:rFonts w:ascii="仿宋_GB2312" w:eastAsia="仿宋_GB2312"/>
          <w:b/>
          <w:bCs/>
          <w:sz w:val="32"/>
          <w:szCs w:val="24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24"/>
          <w:highlight w:val="none"/>
        </w:rPr>
        <w:t>统计与数据科学学院</w:t>
      </w:r>
      <w:r>
        <w:rPr>
          <w:rFonts w:ascii="仿宋_GB2312" w:eastAsia="仿宋_GB2312"/>
          <w:b/>
          <w:bCs/>
          <w:sz w:val="32"/>
          <w:szCs w:val="24"/>
          <w:highlight w:val="none"/>
        </w:rPr>
        <w:t>2025年</w:t>
      </w:r>
      <w:r>
        <w:rPr>
          <w:rFonts w:hint="eastAsia" w:ascii="仿宋_GB2312" w:eastAsia="仿宋_GB2312"/>
          <w:b/>
          <w:bCs/>
          <w:sz w:val="32"/>
          <w:szCs w:val="24"/>
          <w:highlight w:val="none"/>
        </w:rPr>
        <w:t>本科生转专业细则及接收计划</w:t>
      </w:r>
    </w:p>
    <w:p w14:paraId="37CB727E">
      <w:pPr>
        <w:jc w:val="center"/>
        <w:rPr>
          <w:rFonts w:ascii="仿宋_GB2312" w:eastAsia="仿宋_GB2312"/>
          <w:b/>
          <w:bCs/>
          <w:sz w:val="32"/>
          <w:szCs w:val="24"/>
          <w:highlight w:val="none"/>
        </w:rPr>
      </w:pPr>
    </w:p>
    <w:p w14:paraId="12F428FD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根据《南开大学本科学生学则》、《南开大学本科生转专业管理办法》、《关于</w:t>
      </w:r>
      <w:r>
        <w:rPr>
          <w:rFonts w:ascii="仿宋_GB2312" w:eastAsia="仿宋_GB2312"/>
          <w:sz w:val="28"/>
          <w:highlight w:val="none"/>
        </w:rPr>
        <w:t>2025年本科生转专业工作的通知</w:t>
      </w:r>
      <w:r>
        <w:rPr>
          <w:rFonts w:hint="eastAsia" w:ascii="仿宋_GB2312" w:eastAsia="仿宋_GB2312"/>
          <w:sz w:val="28"/>
          <w:highlight w:val="none"/>
        </w:rPr>
        <w:t>》要求，结合我院专业特点，制定我院转专业工作细则。</w:t>
      </w:r>
    </w:p>
    <w:p w14:paraId="3BD53AE4">
      <w:pPr>
        <w:ind w:firstLine="560" w:firstLineChars="200"/>
        <w:rPr>
          <w:rFonts w:ascii="仿宋_GB2312" w:eastAsia="仿宋_GB2312"/>
          <w:sz w:val="28"/>
          <w:highlight w:val="none"/>
        </w:rPr>
      </w:pPr>
    </w:p>
    <w:p w14:paraId="7E411384">
      <w:pPr>
        <w:numPr>
          <w:ilvl w:val="0"/>
          <w:numId w:val="1"/>
        </w:numPr>
        <w:ind w:firstLine="562" w:firstLineChars="200"/>
        <w:rPr>
          <w:rFonts w:ascii="仿宋_GB2312" w:eastAsia="仿宋_GB2312"/>
          <w:b/>
          <w:bCs/>
          <w:sz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highlight w:val="none"/>
        </w:rPr>
        <w:t>转专业工作领导小组</w:t>
      </w:r>
    </w:p>
    <w:p w14:paraId="2196B53A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组长：王兆军、</w:t>
      </w:r>
      <w:bookmarkStart w:id="0" w:name="_GoBack"/>
      <w:bookmarkEnd w:id="0"/>
      <w:r>
        <w:rPr>
          <w:rFonts w:hint="eastAsia" w:ascii="仿宋_GB2312" w:eastAsia="仿宋_GB2312"/>
          <w:sz w:val="28"/>
          <w:highlight w:val="none"/>
        </w:rPr>
        <w:t xml:space="preserve"> 刘民千</w:t>
      </w:r>
    </w:p>
    <w:p w14:paraId="2DB338BB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成员：</w:t>
      </w:r>
      <w:r>
        <w:rPr>
          <w:rFonts w:hint="eastAsia" w:ascii="仿宋_GB2312" w:eastAsia="仿宋_GB2312"/>
          <w:sz w:val="28"/>
          <w:highlight w:val="none"/>
        </w:rPr>
        <w:t>阿依古丽</w:t>
      </w:r>
      <w:r>
        <w:rPr>
          <w:rFonts w:hint="eastAsia" w:ascii="仿宋_GB2312" w:eastAsia="仿宋_GB2312"/>
          <w:sz w:val="28"/>
          <w:highlight w:val="none"/>
        </w:rPr>
        <w:t>、耿薇、胡刚、李忠华、周永道</w:t>
      </w:r>
    </w:p>
    <w:p w14:paraId="4F941C6C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秘书：周晓英</w:t>
      </w:r>
    </w:p>
    <w:p w14:paraId="001347CF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注：转专业工作领导小组为学院转专业工作的领导机构，全面负责本学院的转专业工作。</w:t>
      </w:r>
    </w:p>
    <w:p w14:paraId="7EB68B3D">
      <w:pPr>
        <w:numPr>
          <w:ilvl w:val="0"/>
          <w:numId w:val="1"/>
        </w:numPr>
        <w:ind w:firstLine="562" w:firstLineChars="200"/>
        <w:rPr>
          <w:rFonts w:ascii="仿宋_GB2312" w:eastAsia="仿宋_GB2312"/>
          <w:b/>
          <w:bCs/>
          <w:sz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highlight w:val="none"/>
        </w:rPr>
        <w:t>转出条件</w:t>
      </w:r>
    </w:p>
    <w:p w14:paraId="3C08A876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除《南开大学本科生转专业管理办法》规定的不允许转出的情形外，学院学生转出无其他限制。</w:t>
      </w:r>
    </w:p>
    <w:p w14:paraId="33337D60">
      <w:pPr>
        <w:numPr>
          <w:ilvl w:val="0"/>
          <w:numId w:val="1"/>
        </w:numPr>
        <w:ind w:firstLine="562" w:firstLineChars="200"/>
        <w:rPr>
          <w:rFonts w:ascii="仿宋_GB2312" w:eastAsia="仿宋_GB2312"/>
          <w:b/>
          <w:bCs/>
          <w:sz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highlight w:val="none"/>
        </w:rPr>
        <w:t>转入基本申请条件</w:t>
      </w:r>
    </w:p>
    <w:p w14:paraId="595DA2CA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1、</w:t>
      </w:r>
      <w:r>
        <w:rPr>
          <w:rFonts w:hint="eastAsia" w:ascii="仿宋_GB2312" w:eastAsia="仿宋_GB2312"/>
          <w:sz w:val="28"/>
          <w:highlight w:val="none"/>
        </w:rPr>
        <w:t>在原专业学习期间必修课无挂科记录。</w:t>
      </w:r>
    </w:p>
    <w:p w14:paraId="783B1431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ascii="仿宋_GB2312" w:eastAsia="仿宋_GB2312"/>
          <w:sz w:val="28"/>
          <w:highlight w:val="none"/>
        </w:rPr>
        <w:t>2</w:t>
      </w:r>
      <w:r>
        <w:rPr>
          <w:rFonts w:hint="eastAsia" w:ascii="仿宋_GB2312" w:eastAsia="仿宋_GB2312"/>
          <w:sz w:val="28"/>
          <w:highlight w:val="none"/>
        </w:rPr>
        <w:t>、</w:t>
      </w:r>
      <w:r>
        <w:rPr>
          <w:rFonts w:hint="eastAsia" w:ascii="仿宋_GB2312" w:eastAsia="仿宋_GB2312"/>
          <w:sz w:val="28"/>
          <w:highlight w:val="none"/>
        </w:rPr>
        <w:t>在原专业学习期间，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"https://eamis.nankai.edu.cn/eams/teachTaskSearch!info.action?lesson.id=556939" \o "查看任务详细信息" </w:instrText>
      </w:r>
      <w:r>
        <w:rPr>
          <w:highlight w:val="none"/>
        </w:rPr>
        <w:fldChar w:fldCharType="separate"/>
      </w:r>
      <w:r>
        <w:rPr>
          <w:rFonts w:ascii="仿宋_GB2312" w:eastAsia="仿宋_GB2312"/>
          <w:sz w:val="28"/>
          <w:highlight w:val="none"/>
        </w:rPr>
        <w:t>高等数学（</w:t>
      </w:r>
      <w:r>
        <w:rPr>
          <w:rFonts w:hint="eastAsia" w:ascii="仿宋_GB2312" w:eastAsia="仿宋_GB2312"/>
          <w:sz w:val="28"/>
          <w:highlight w:val="none"/>
        </w:rPr>
        <w:t>A</w:t>
      </w:r>
      <w:r>
        <w:rPr>
          <w:rFonts w:ascii="仿宋_GB2312" w:eastAsia="仿宋_GB2312"/>
          <w:sz w:val="28"/>
          <w:highlight w:val="none"/>
        </w:rPr>
        <w:t>类）</w:t>
      </w:r>
      <w:r>
        <w:rPr>
          <w:rFonts w:ascii="仿宋_GB2312" w:eastAsia="仿宋_GB2312"/>
          <w:sz w:val="28"/>
          <w:highlight w:val="none"/>
        </w:rPr>
        <w:fldChar w:fldCharType="end"/>
      </w:r>
      <w:r>
        <w:rPr>
          <w:rFonts w:hint="eastAsia" w:ascii="仿宋_GB2312" w:eastAsia="仿宋_GB2312"/>
          <w:sz w:val="28"/>
          <w:highlight w:val="none"/>
        </w:rPr>
        <w:t>I、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"https://eamis.nankai.edu.cn/eams/teachTaskSearch!info.action?lesson.id=556939" \o "查看任务详细信息" </w:instrText>
      </w:r>
      <w:r>
        <w:rPr>
          <w:highlight w:val="none"/>
        </w:rPr>
        <w:fldChar w:fldCharType="separate"/>
      </w:r>
      <w:r>
        <w:rPr>
          <w:rFonts w:hint="eastAsia" w:ascii="仿宋_GB2312" w:eastAsia="仿宋_GB2312"/>
          <w:sz w:val="28"/>
          <w:highlight w:val="none"/>
        </w:rPr>
        <w:t>高等数学（A类）</w:t>
      </w:r>
      <w:r>
        <w:rPr>
          <w:rFonts w:hint="eastAsia" w:ascii="仿宋_GB2312" w:eastAsia="仿宋_GB2312"/>
          <w:sz w:val="28"/>
          <w:highlight w:val="none"/>
        </w:rPr>
        <w:fldChar w:fldCharType="end"/>
      </w:r>
      <w:r>
        <w:rPr>
          <w:rFonts w:hint="eastAsia" w:ascii="仿宋_GB2312" w:eastAsia="仿宋_GB2312"/>
          <w:sz w:val="28"/>
          <w:highlight w:val="none"/>
        </w:rPr>
        <w:t>II绩点均不低于</w:t>
      </w:r>
      <w:r>
        <w:rPr>
          <w:rFonts w:hint="eastAsia" w:ascii="仿宋_GB2312" w:eastAsia="仿宋_GB2312"/>
          <w:sz w:val="28"/>
          <w:highlight w:val="none"/>
        </w:rPr>
        <w:t>3.0（或7</w:t>
      </w:r>
      <w:r>
        <w:rPr>
          <w:rFonts w:ascii="仿宋_GB2312" w:eastAsia="仿宋_GB2312"/>
          <w:sz w:val="28"/>
          <w:highlight w:val="none"/>
        </w:rPr>
        <w:t>8</w:t>
      </w:r>
      <w:r>
        <w:rPr>
          <w:rFonts w:hint="eastAsia" w:ascii="仿宋_GB2312" w:eastAsia="仿宋_GB2312"/>
          <w:sz w:val="28"/>
          <w:highlight w:val="none"/>
        </w:rPr>
        <w:t>分）</w:t>
      </w:r>
      <w:r>
        <w:rPr>
          <w:rFonts w:hint="eastAsia" w:ascii="仿宋_GB2312" w:eastAsia="仿宋_GB2312"/>
          <w:sz w:val="28"/>
          <w:highlight w:val="none"/>
        </w:rPr>
        <w:t>，或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"https://eamis.nankai.edu.cn/eams/teachTaskSearch!info.action?lesson.id=556939" \o "查看任务详细信息" </w:instrText>
      </w:r>
      <w:r>
        <w:rPr>
          <w:highlight w:val="none"/>
        </w:rPr>
        <w:fldChar w:fldCharType="separate"/>
      </w:r>
      <w:r>
        <w:rPr>
          <w:rFonts w:hint="eastAsia" w:ascii="仿宋_GB2312" w:eastAsia="仿宋_GB2312"/>
          <w:sz w:val="28"/>
          <w:highlight w:val="none"/>
        </w:rPr>
        <w:t>高等数学（B类）</w:t>
      </w:r>
      <w:r>
        <w:rPr>
          <w:rFonts w:hint="eastAsia" w:ascii="仿宋_GB2312" w:eastAsia="仿宋_GB2312"/>
          <w:sz w:val="28"/>
          <w:highlight w:val="none"/>
        </w:rPr>
        <w:fldChar w:fldCharType="end"/>
      </w:r>
      <w:r>
        <w:rPr>
          <w:rFonts w:hint="eastAsia" w:ascii="仿宋_GB2312" w:eastAsia="仿宋_GB2312"/>
          <w:sz w:val="28"/>
          <w:highlight w:val="none"/>
        </w:rPr>
        <w:t>I、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"https://eamis.nankai.edu.cn/eams/teachTaskSearch!info.action?lesson.id=556939" \o "查看任务详细信息" </w:instrText>
      </w:r>
      <w:r>
        <w:rPr>
          <w:highlight w:val="none"/>
        </w:rPr>
        <w:fldChar w:fldCharType="separate"/>
      </w:r>
      <w:r>
        <w:rPr>
          <w:rFonts w:hint="eastAsia" w:ascii="仿宋_GB2312" w:eastAsia="仿宋_GB2312"/>
          <w:sz w:val="28"/>
          <w:highlight w:val="none"/>
        </w:rPr>
        <w:t>高等数学（B类）</w:t>
      </w:r>
      <w:r>
        <w:rPr>
          <w:rFonts w:hint="eastAsia" w:ascii="仿宋_GB2312" w:eastAsia="仿宋_GB2312"/>
          <w:sz w:val="28"/>
          <w:highlight w:val="none"/>
        </w:rPr>
        <w:fldChar w:fldCharType="end"/>
      </w:r>
      <w:r>
        <w:rPr>
          <w:rFonts w:hint="eastAsia" w:ascii="仿宋_GB2312" w:eastAsia="仿宋_GB2312"/>
          <w:sz w:val="28"/>
          <w:highlight w:val="none"/>
        </w:rPr>
        <w:t>II绩点均不低于</w:t>
      </w:r>
      <w:r>
        <w:rPr>
          <w:rFonts w:hint="eastAsia" w:ascii="仿宋_GB2312" w:eastAsia="仿宋_GB2312"/>
          <w:sz w:val="28"/>
          <w:highlight w:val="none"/>
        </w:rPr>
        <w:t>3.0（或7</w:t>
      </w:r>
      <w:r>
        <w:rPr>
          <w:rFonts w:ascii="仿宋_GB2312" w:eastAsia="仿宋_GB2312"/>
          <w:sz w:val="28"/>
          <w:highlight w:val="none"/>
        </w:rPr>
        <w:t>8</w:t>
      </w:r>
      <w:r>
        <w:rPr>
          <w:rFonts w:hint="eastAsia" w:ascii="仿宋_GB2312" w:eastAsia="仿宋_GB2312"/>
          <w:sz w:val="28"/>
          <w:highlight w:val="none"/>
        </w:rPr>
        <w:t>分）</w:t>
      </w:r>
      <w:r>
        <w:rPr>
          <w:rFonts w:hint="eastAsia" w:ascii="仿宋_GB2312" w:eastAsia="仿宋_GB2312"/>
          <w:sz w:val="28"/>
          <w:highlight w:val="none"/>
        </w:rPr>
        <w:t>。</w:t>
      </w:r>
    </w:p>
    <w:p w14:paraId="0D82A2D3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3、 必修课平均学分绩点不低于2.0</w:t>
      </w:r>
      <w:r>
        <w:rPr>
          <w:rFonts w:hint="eastAsia" w:ascii="仿宋_GB2312" w:eastAsia="仿宋_GB2312"/>
          <w:sz w:val="28"/>
          <w:highlight w:val="none"/>
        </w:rPr>
        <w:t>（或6</w:t>
      </w:r>
      <w:r>
        <w:rPr>
          <w:rFonts w:ascii="仿宋_GB2312" w:eastAsia="仿宋_GB2312"/>
          <w:sz w:val="28"/>
          <w:highlight w:val="none"/>
        </w:rPr>
        <w:t>9</w:t>
      </w:r>
      <w:r>
        <w:rPr>
          <w:rFonts w:hint="eastAsia" w:ascii="仿宋_GB2312" w:eastAsia="仿宋_GB2312"/>
          <w:sz w:val="28"/>
          <w:highlight w:val="none"/>
        </w:rPr>
        <w:t>分）</w:t>
      </w:r>
      <w:r>
        <w:rPr>
          <w:rFonts w:hint="eastAsia" w:ascii="仿宋_GB2312" w:eastAsia="仿宋_GB2312"/>
          <w:sz w:val="28"/>
          <w:highlight w:val="none"/>
        </w:rPr>
        <w:t>。</w:t>
      </w:r>
    </w:p>
    <w:p w14:paraId="67AD386A">
      <w:pPr>
        <w:numPr>
          <w:ilvl w:val="0"/>
          <w:numId w:val="1"/>
        </w:numPr>
        <w:ind w:firstLine="562" w:firstLineChars="200"/>
        <w:rPr>
          <w:rFonts w:ascii="仿宋_GB2312" w:eastAsia="仿宋_GB2312"/>
          <w:b/>
          <w:bCs/>
          <w:sz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highlight w:val="none"/>
        </w:rPr>
        <w:t>选拔流程</w:t>
      </w:r>
    </w:p>
    <w:p w14:paraId="7B5A2A73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1、学院依据接收条件，对申请转入我院学生的资格进行初审。</w:t>
      </w:r>
    </w:p>
    <w:p w14:paraId="4D1B65DA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2、通过资格审核的学生可以参加我院统一安排的转专业笔试，笔试时间100分钟，笔试科目如下:</w:t>
      </w:r>
    </w:p>
    <w:tbl>
      <w:tblPr>
        <w:tblStyle w:val="5"/>
        <w:tblpPr w:leftFromText="180" w:rightFromText="180" w:vertAnchor="text" w:horzAnchor="page" w:tblpX="1504" w:tblpY="548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 w14:paraId="1553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2F1F4193"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</w:rPr>
              <w:t>科目</w:t>
            </w:r>
          </w:p>
        </w:tc>
        <w:tc>
          <w:tcPr>
            <w:tcW w:w="850" w:type="dxa"/>
            <w:vAlign w:val="center"/>
          </w:tcPr>
          <w:p w14:paraId="5D237506"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</w:rPr>
              <w:t>分值</w:t>
            </w:r>
          </w:p>
        </w:tc>
        <w:tc>
          <w:tcPr>
            <w:tcW w:w="6521" w:type="dxa"/>
            <w:vAlign w:val="center"/>
          </w:tcPr>
          <w:p w14:paraId="344D521A"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</w:rPr>
              <w:t>参考书目</w:t>
            </w:r>
          </w:p>
        </w:tc>
      </w:tr>
      <w:tr w14:paraId="761A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1EE99DF"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</w:rPr>
              <w:t>数学分析</w:t>
            </w:r>
          </w:p>
        </w:tc>
        <w:tc>
          <w:tcPr>
            <w:tcW w:w="850" w:type="dxa"/>
            <w:vAlign w:val="center"/>
          </w:tcPr>
          <w:p w14:paraId="7991D6ED"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</w:rPr>
              <w:t>50</w:t>
            </w:r>
          </w:p>
        </w:tc>
        <w:tc>
          <w:tcPr>
            <w:tcW w:w="6521" w:type="dxa"/>
            <w:vAlign w:val="center"/>
          </w:tcPr>
          <w:p w14:paraId="6AEF36E9">
            <w:pPr>
              <w:pStyle w:val="11"/>
              <w:ind w:firstLine="0" w:firstLineChars="0"/>
              <w:jc w:val="both"/>
              <w:rPr>
                <w:rFonts w:ascii="仿宋_GB2312" w:eastAsia="仿宋_GB2312" w:hAnsiTheme="minorHAnsi" w:cstheme="minorBidi"/>
                <w:sz w:val="28"/>
                <w:szCs w:val="22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</w:rPr>
              <w:t>《数学分析》</w:t>
            </w: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  <w:lang w:val="en-US" w:eastAsia="zh-CN"/>
              </w:rPr>
              <w:t>1-9</w:t>
            </w: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</w:rPr>
              <w:t>章；南开大学数学科学学院刘春根，朱少红，李军，丁龙云主编；高等教育出版社。</w:t>
            </w:r>
          </w:p>
        </w:tc>
      </w:tr>
      <w:tr w14:paraId="2A61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E4974E5"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</w:rPr>
              <w:t>高等代数</w:t>
            </w:r>
          </w:p>
        </w:tc>
        <w:tc>
          <w:tcPr>
            <w:tcW w:w="850" w:type="dxa"/>
            <w:vAlign w:val="center"/>
          </w:tcPr>
          <w:p w14:paraId="13165A1F"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</w:rPr>
              <w:t>50</w:t>
            </w:r>
          </w:p>
        </w:tc>
        <w:tc>
          <w:tcPr>
            <w:tcW w:w="6521" w:type="dxa"/>
            <w:vAlign w:val="center"/>
          </w:tcPr>
          <w:p w14:paraId="5B8C2483">
            <w:pPr>
              <w:pStyle w:val="11"/>
              <w:ind w:firstLine="0" w:firstLineChars="0"/>
              <w:jc w:val="both"/>
              <w:rPr>
                <w:rFonts w:ascii="仿宋_GB2312" w:eastAsia="仿宋_GB2312" w:hAnsiTheme="minorHAnsi" w:cstheme="minorBidi"/>
                <w:sz w:val="28"/>
                <w:szCs w:val="22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</w:rPr>
              <w:t>《高等代数》（第四版）（范围</w:t>
            </w: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  <w:lang w:val="en-US" w:eastAsia="zh-CN"/>
              </w:rPr>
              <w:t>1-4</w:t>
            </w:r>
            <w:r>
              <w:rPr>
                <w:rFonts w:hint="eastAsia" w:ascii="仿宋_GB2312" w:eastAsia="仿宋_GB2312" w:hAnsiTheme="minorHAnsi" w:cstheme="minorBidi"/>
                <w:sz w:val="28"/>
                <w:szCs w:val="22"/>
                <w:highlight w:val="none"/>
              </w:rPr>
              <w:t>章）；北京大学数学系几何与代数教研室代数小组编；王萼芳，石生明修订；高等教育出版社</w:t>
            </w:r>
          </w:p>
        </w:tc>
      </w:tr>
    </w:tbl>
    <w:p w14:paraId="7D57CEA7">
      <w:pPr>
        <w:ind w:firstLine="560" w:firstLineChars="200"/>
        <w:rPr>
          <w:rFonts w:ascii="仿宋_GB2312" w:eastAsia="仿宋_GB2312"/>
          <w:sz w:val="28"/>
          <w:highlight w:val="none"/>
        </w:rPr>
      </w:pPr>
    </w:p>
    <w:p w14:paraId="2C9FDF0B">
      <w:pPr>
        <w:pStyle w:val="11"/>
        <w:ind w:firstLine="560"/>
        <w:jc w:val="both"/>
        <w:rPr>
          <w:rFonts w:ascii="仿宋_GB2312" w:eastAsia="仿宋_GB2312" w:hAnsiTheme="minorHAnsi" w:cstheme="minorBidi"/>
          <w:sz w:val="28"/>
          <w:szCs w:val="22"/>
          <w:highlight w:val="none"/>
        </w:rPr>
      </w:pPr>
      <w:r>
        <w:rPr>
          <w:rFonts w:hint="eastAsia" w:ascii="仿宋_GB2312" w:eastAsia="仿宋_GB2312" w:hAnsiTheme="minorHAnsi" w:cstheme="minorBidi"/>
          <w:sz w:val="28"/>
          <w:szCs w:val="22"/>
          <w:highlight w:val="none"/>
        </w:rPr>
        <w:t>3、笔试成绩为两门笔试科目成绩之和，笔试成绩60分以上(含60分)者按笔试成绩进行排序确定进入面试人选，进入面试人数不超过接收人数的200%。</w:t>
      </w:r>
    </w:p>
    <w:p w14:paraId="0C3C84F0">
      <w:pPr>
        <w:pStyle w:val="11"/>
        <w:ind w:firstLine="560"/>
        <w:jc w:val="both"/>
        <w:rPr>
          <w:rFonts w:ascii="仿宋_GB2312" w:eastAsia="仿宋_GB2312" w:hAnsiTheme="minorHAnsi" w:cstheme="minorBidi"/>
          <w:sz w:val="28"/>
          <w:szCs w:val="22"/>
          <w:highlight w:val="none"/>
        </w:rPr>
      </w:pPr>
      <w:r>
        <w:rPr>
          <w:rFonts w:hint="eastAsia" w:ascii="仿宋_GB2312" w:eastAsia="仿宋_GB2312" w:hAnsiTheme="minorHAnsi" w:cstheme="minorBidi"/>
          <w:sz w:val="28"/>
          <w:szCs w:val="22"/>
          <w:highlight w:val="none"/>
        </w:rPr>
        <w:t>4、学院成立本科转专业面试工作小组，对进入面试学生进行考核评分，面试分值100分，面试成绩未到60分者不予接收。</w:t>
      </w:r>
    </w:p>
    <w:p w14:paraId="08C499CC">
      <w:pPr>
        <w:pStyle w:val="11"/>
        <w:ind w:firstLine="560"/>
        <w:jc w:val="both"/>
        <w:rPr>
          <w:rFonts w:ascii="仿宋_GB2312" w:eastAsia="仿宋_GB2312" w:hAnsiTheme="minorHAnsi" w:cstheme="minorBidi"/>
          <w:sz w:val="28"/>
          <w:szCs w:val="22"/>
          <w:highlight w:val="none"/>
        </w:rPr>
      </w:pPr>
      <w:r>
        <w:rPr>
          <w:rFonts w:hint="eastAsia" w:ascii="仿宋_GB2312" w:eastAsia="仿宋_GB2312" w:hAnsiTheme="minorHAnsi" w:cstheme="minorBidi"/>
          <w:sz w:val="28"/>
          <w:szCs w:val="22"/>
          <w:highlight w:val="none"/>
        </w:rPr>
        <w:t>5、接收成绩=笔试成绩*70%+面试成绩*30%；按接收成绩排序，结合当年接收转专业人数确定接收名单。</w:t>
      </w:r>
    </w:p>
    <w:p w14:paraId="794CD9D5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6、学院将在学院公告栏及学院主页进行公示，公示3日。若申请复议，请在公示期内联系我院教学办公室（范孙楼230）022-23501583。</w:t>
      </w:r>
    </w:p>
    <w:p w14:paraId="144DBF76">
      <w:pPr>
        <w:numPr>
          <w:ilvl w:val="0"/>
          <w:numId w:val="1"/>
        </w:numPr>
        <w:ind w:firstLine="640" w:firstLineChars="200"/>
        <w:rPr>
          <w:rFonts w:ascii="仿宋_GB2312" w:eastAsia="仿宋_GB2312"/>
          <w:b/>
          <w:bCs/>
          <w:sz w:val="28"/>
          <w:highlight w:val="none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highlight w:val="none"/>
        </w:rPr>
        <w:t>接收计划</w:t>
      </w:r>
    </w:p>
    <w:tbl>
      <w:tblPr>
        <w:tblStyle w:val="4"/>
        <w:tblW w:w="86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85"/>
        <w:gridCol w:w="2976"/>
        <w:gridCol w:w="1276"/>
      </w:tblGrid>
      <w:tr w14:paraId="4456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50198E80">
            <w:pPr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接收专业</w:t>
            </w:r>
          </w:p>
          <w:p w14:paraId="7F7CB377">
            <w:pPr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（含大类）</w:t>
            </w:r>
          </w:p>
        </w:tc>
        <w:tc>
          <w:tcPr>
            <w:tcW w:w="1985" w:type="dxa"/>
            <w:vAlign w:val="center"/>
          </w:tcPr>
          <w:p w14:paraId="6DFDDCCE">
            <w:pPr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计划接收年级</w:t>
            </w:r>
          </w:p>
        </w:tc>
        <w:tc>
          <w:tcPr>
            <w:tcW w:w="2976" w:type="dxa"/>
            <w:vAlign w:val="center"/>
          </w:tcPr>
          <w:p w14:paraId="3F0CBF5A">
            <w:pPr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计划接收人数（不同年级分别标注接收人数）</w:t>
            </w:r>
          </w:p>
        </w:tc>
        <w:tc>
          <w:tcPr>
            <w:tcW w:w="1276" w:type="dxa"/>
            <w:vAlign w:val="center"/>
          </w:tcPr>
          <w:p w14:paraId="6715A48D">
            <w:pPr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备注</w:t>
            </w:r>
          </w:p>
        </w:tc>
      </w:tr>
      <w:tr w14:paraId="1F54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0F002A81"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统计学类</w:t>
            </w:r>
          </w:p>
        </w:tc>
        <w:tc>
          <w:tcPr>
            <w:tcW w:w="1985" w:type="dxa"/>
            <w:vAlign w:val="center"/>
          </w:tcPr>
          <w:p w14:paraId="146B573B"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2976" w:type="dxa"/>
            <w:vAlign w:val="center"/>
          </w:tcPr>
          <w:p w14:paraId="74FE2708"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 w14:paraId="552C4B60">
            <w:pPr>
              <w:ind w:firstLine="560" w:firstLineChars="200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3174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457F9011"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统计学类</w:t>
            </w:r>
          </w:p>
        </w:tc>
        <w:tc>
          <w:tcPr>
            <w:tcW w:w="1985" w:type="dxa"/>
            <w:vAlign w:val="center"/>
          </w:tcPr>
          <w:p w14:paraId="49C6AA2D"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</w:t>
            </w: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023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级及以上</w:t>
            </w:r>
          </w:p>
        </w:tc>
        <w:tc>
          <w:tcPr>
            <w:tcW w:w="2976" w:type="dxa"/>
            <w:vAlign w:val="center"/>
          </w:tcPr>
          <w:p w14:paraId="657B5D8E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 w14:paraId="48C10F4A">
            <w:pPr>
              <w:ind w:firstLine="560" w:firstLineChars="200"/>
              <w:rPr>
                <w:rFonts w:ascii="仿宋_GB2312" w:eastAsia="仿宋_GB2312"/>
                <w:sz w:val="28"/>
                <w:highlight w:val="none"/>
              </w:rPr>
            </w:pPr>
          </w:p>
        </w:tc>
      </w:tr>
    </w:tbl>
    <w:p w14:paraId="09489411">
      <w:pPr>
        <w:rPr>
          <w:rFonts w:ascii="仿宋_GB2312" w:eastAsia="仿宋_GB2312"/>
          <w:b/>
          <w:bCs/>
          <w:sz w:val="28"/>
          <w:highlight w:val="none"/>
        </w:rPr>
      </w:pPr>
    </w:p>
    <w:p w14:paraId="40650959">
      <w:pPr>
        <w:numPr>
          <w:ilvl w:val="0"/>
          <w:numId w:val="1"/>
        </w:numPr>
        <w:ind w:firstLine="562" w:firstLineChars="200"/>
        <w:rPr>
          <w:rFonts w:ascii="仿宋_GB2312" w:eastAsia="仿宋_GB2312"/>
          <w:b/>
          <w:bCs/>
          <w:sz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highlight w:val="none"/>
        </w:rPr>
        <w:t>争议情况处理及解释权归属</w:t>
      </w:r>
    </w:p>
    <w:p w14:paraId="7F246582">
      <w:pPr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本细则解释权归属统计与数据科学学院。</w:t>
      </w:r>
    </w:p>
    <w:p w14:paraId="325725B0">
      <w:pPr>
        <w:ind w:firstLine="560" w:firstLineChars="200"/>
        <w:jc w:val="right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统计与数据科学学院</w:t>
      </w:r>
    </w:p>
    <w:p w14:paraId="544D9559">
      <w:pPr>
        <w:ind w:firstLine="560" w:firstLineChars="200"/>
        <w:jc w:val="right"/>
        <w:rPr>
          <w:rFonts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仿宋_GB2312" w:eastAsia="仿宋_GB2312"/>
          <w:sz w:val="28"/>
          <w:highlight w:val="none"/>
        </w:rPr>
        <w:t>202</w:t>
      </w:r>
      <w:r>
        <w:rPr>
          <w:rFonts w:ascii="仿宋_GB2312" w:eastAsia="仿宋_GB2312"/>
          <w:sz w:val="28"/>
          <w:highlight w:val="none"/>
        </w:rPr>
        <w:t>5</w:t>
      </w:r>
      <w:r>
        <w:rPr>
          <w:rFonts w:hint="eastAsia" w:ascii="仿宋_GB2312" w:eastAsia="仿宋_GB2312"/>
          <w:sz w:val="28"/>
          <w:highlight w:val="none"/>
        </w:rPr>
        <w:t>年</w:t>
      </w:r>
      <w:r>
        <w:rPr>
          <w:rFonts w:ascii="仿宋_GB2312" w:eastAsia="仿宋_GB2312"/>
          <w:sz w:val="28"/>
          <w:highlight w:val="none"/>
        </w:rPr>
        <w:t>3</w:t>
      </w:r>
      <w:r>
        <w:rPr>
          <w:rFonts w:hint="eastAsia" w:ascii="仿宋_GB2312" w:eastAsia="仿宋_GB2312"/>
          <w:sz w:val="28"/>
          <w:highlight w:val="none"/>
        </w:rPr>
        <w:t>月</w:t>
      </w:r>
      <w:r>
        <w:rPr>
          <w:rFonts w:ascii="仿宋_GB2312" w:eastAsia="仿宋_GB2312"/>
          <w:sz w:val="28"/>
          <w:highlight w:val="none"/>
        </w:rPr>
        <w:t>3</w:t>
      </w:r>
      <w:r>
        <w:rPr>
          <w:rFonts w:hint="eastAsia" w:ascii="仿宋_GB2312" w:eastAsia="仿宋_GB2312"/>
          <w:sz w:val="28"/>
          <w:highlight w:val="none"/>
        </w:rPr>
        <w:t>日</w:t>
      </w:r>
    </w:p>
    <w:sectPr>
      <w:footerReference r:id="rId3" w:type="default"/>
      <w:pgSz w:w="11906" w:h="16838"/>
      <w:pgMar w:top="1644" w:right="1417" w:bottom="1928" w:left="141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BF5B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BBAFB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2BBAFB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4D061"/>
    <w:multiLevelType w:val="singleLevel"/>
    <w:tmpl w:val="5A74D0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kYzg0NDAyNDgyN2I3ZjhkNDVmMDIyOTYwZThlMDIifQ=="/>
    <w:docVar w:name="KSO_WPS_MARK_KEY" w:val="a0d9305e-5df8-4778-9459-98c691138a56"/>
  </w:docVars>
  <w:rsids>
    <w:rsidRoot w:val="00EB666E"/>
    <w:rsid w:val="00095253"/>
    <w:rsid w:val="00140855"/>
    <w:rsid w:val="001850F4"/>
    <w:rsid w:val="00187454"/>
    <w:rsid w:val="001A57D6"/>
    <w:rsid w:val="001F4820"/>
    <w:rsid w:val="002B5E96"/>
    <w:rsid w:val="003F530B"/>
    <w:rsid w:val="00446BB9"/>
    <w:rsid w:val="0059584A"/>
    <w:rsid w:val="005B67D2"/>
    <w:rsid w:val="00692E4B"/>
    <w:rsid w:val="00763C57"/>
    <w:rsid w:val="007C7BE4"/>
    <w:rsid w:val="00871468"/>
    <w:rsid w:val="008B024C"/>
    <w:rsid w:val="008B3779"/>
    <w:rsid w:val="008F5107"/>
    <w:rsid w:val="009513AD"/>
    <w:rsid w:val="00AA35FC"/>
    <w:rsid w:val="00AD6194"/>
    <w:rsid w:val="00AE7982"/>
    <w:rsid w:val="00C720CE"/>
    <w:rsid w:val="00CA363F"/>
    <w:rsid w:val="00CD5839"/>
    <w:rsid w:val="00CF5144"/>
    <w:rsid w:val="00D20723"/>
    <w:rsid w:val="00DA15AE"/>
    <w:rsid w:val="00DC32C5"/>
    <w:rsid w:val="00E4188E"/>
    <w:rsid w:val="00EA6CD7"/>
    <w:rsid w:val="00EB4A54"/>
    <w:rsid w:val="00EB666E"/>
    <w:rsid w:val="00F95361"/>
    <w:rsid w:val="00FE1A04"/>
    <w:rsid w:val="04CC3ED7"/>
    <w:rsid w:val="05FB41E5"/>
    <w:rsid w:val="0F4F1BEE"/>
    <w:rsid w:val="153B2E68"/>
    <w:rsid w:val="155319A5"/>
    <w:rsid w:val="1AF51E56"/>
    <w:rsid w:val="1C4C63CA"/>
    <w:rsid w:val="1E811661"/>
    <w:rsid w:val="1E95596F"/>
    <w:rsid w:val="25825D1E"/>
    <w:rsid w:val="27B04C39"/>
    <w:rsid w:val="27D54C86"/>
    <w:rsid w:val="28C31AA5"/>
    <w:rsid w:val="2B592271"/>
    <w:rsid w:val="2C077613"/>
    <w:rsid w:val="2D0619FA"/>
    <w:rsid w:val="2DEC6232"/>
    <w:rsid w:val="2E9A4CAC"/>
    <w:rsid w:val="2F543295"/>
    <w:rsid w:val="2F8A4396"/>
    <w:rsid w:val="3ED5703A"/>
    <w:rsid w:val="40145F57"/>
    <w:rsid w:val="4268361D"/>
    <w:rsid w:val="43D33209"/>
    <w:rsid w:val="44EC1F6F"/>
    <w:rsid w:val="473A6C60"/>
    <w:rsid w:val="47B410D2"/>
    <w:rsid w:val="48971226"/>
    <w:rsid w:val="49D521F1"/>
    <w:rsid w:val="4A994C87"/>
    <w:rsid w:val="4B5769A7"/>
    <w:rsid w:val="4C9E1EC2"/>
    <w:rsid w:val="501D372D"/>
    <w:rsid w:val="50B235C2"/>
    <w:rsid w:val="564B4DF3"/>
    <w:rsid w:val="583E19EF"/>
    <w:rsid w:val="5B6E468A"/>
    <w:rsid w:val="5BCE2B91"/>
    <w:rsid w:val="5C2B0A9A"/>
    <w:rsid w:val="5C342A87"/>
    <w:rsid w:val="5C7066B7"/>
    <w:rsid w:val="5E902606"/>
    <w:rsid w:val="5FDC14FE"/>
    <w:rsid w:val="61F36C32"/>
    <w:rsid w:val="63144210"/>
    <w:rsid w:val="651A59CF"/>
    <w:rsid w:val="65FC083C"/>
    <w:rsid w:val="666F3E82"/>
    <w:rsid w:val="6AE1008D"/>
    <w:rsid w:val="6B55614D"/>
    <w:rsid w:val="6D1001B6"/>
    <w:rsid w:val="6D995167"/>
    <w:rsid w:val="6EF367A6"/>
    <w:rsid w:val="6F7F3552"/>
    <w:rsid w:val="7300051C"/>
    <w:rsid w:val="73E10605"/>
    <w:rsid w:val="73E41E26"/>
    <w:rsid w:val="76B70CFE"/>
    <w:rsid w:val="78D56B94"/>
    <w:rsid w:val="7A4F022C"/>
    <w:rsid w:val="7DA7486E"/>
    <w:rsid w:val="7E8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细则正文"/>
    <w:basedOn w:val="1"/>
    <w:autoRedefine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930</Characters>
  <Lines>10</Lines>
  <Paragraphs>2</Paragraphs>
  <TotalTime>0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2023-04-04T06:41:00Z</dcterms:created>
  <dc:creator>闫旭</dc:creator>
  <cp:lastModifiedBy>周晓英</cp:lastModifiedBy>
  <cp:lastPrinted>2023-04-19T08:50:00Z</cp:lastPrinted>
  <dcterms:modified xsi:type="dcterms:W3CDTF">2025-03-10T07:46:19Z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13ACD568116E4560AFE76E10E5083931</vt:lpwstr>
  </property>
  <property fmtid="{D5CDD505-2E9C-101B-9397-08002B2CF9AE}" pid="4" name="KSOTemplateDocerSaveRecord">
    <vt:lpwstr>eyJoZGlkIjoiOGRkYzg0NDAyNDgyN2I3ZjhkNDVmMDIyOTYwZThlMDIiLCJ1c2VySWQiOiIzNjAyMzg2NDIifQ==</vt:lpwstr>
  </property>
</Properties>
</file>