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ind w:firstLine="0"/>
        <w:rPr>
          <w:rFonts w:ascii="黑体" w:hAnsi="黑体" w:eastAsia="黑体" w:cs="Times New Roman"/>
          <w:sz w:val="32"/>
          <w:szCs w:val="32"/>
          <w:lang w:val="en-US" w:eastAsia="zh-CN" w:bidi="ar-SA"/>
        </w:rPr>
      </w:pPr>
      <w:r>
        <w:rPr>
          <w:rFonts w:ascii="黑体" w:hAnsi="黑体" w:eastAsia="黑体" w:cs="Times New Roman"/>
          <w:sz w:val="32"/>
          <w:szCs w:val="32"/>
          <w:lang w:val="en-US" w:eastAsia="zh-CN" w:bidi="ar-SA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 w:bidi="ar-SA"/>
        </w:rPr>
        <w:t>3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sz w:val="44"/>
          <w:szCs w:val="44"/>
        </w:rPr>
        <w:t>专业教育类课程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思政示范课程</w:t>
      </w:r>
      <w:r>
        <w:rPr>
          <w:rFonts w:ascii="Times New Roman" w:hAnsi="Times New Roman" w:eastAsia="方正小标宋简体" w:cs="Times New Roman"/>
          <w:sz w:val="44"/>
          <w:szCs w:val="44"/>
        </w:rPr>
        <w:t>评价指标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体系</w:t>
      </w:r>
    </w:p>
    <w:bookmarkEnd w:id="0"/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tbl>
      <w:tblPr>
        <w:tblStyle w:val="2"/>
        <w:tblW w:w="537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76"/>
        <w:gridCol w:w="1282"/>
        <w:gridCol w:w="7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exact"/>
          <w:jc w:val="center"/>
        </w:trPr>
        <w:tc>
          <w:tcPr>
            <w:tcW w:w="1219" w:type="pct"/>
            <w:gridSpan w:val="2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考查要素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考查点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5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18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20" w:lineRule="exact"/>
              <w:ind w:firstLine="18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目标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28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20" w:lineRule="exact"/>
              <w:ind w:firstLine="28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目标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全面贯彻党的教育方针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66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推进习近平新时代中国特色社会主义思想进教材、进课堂、进学生头脑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注意发挥社会主义核心价值观引领作用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9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贯彻落实立德树人根本任务，促进学生德智体美全面发展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4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设计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注重对学生爱国、励志、求真、力行品质的塑造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8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注重思想品德、专业技术能力、科学素养的培养，促进课程与思政教育同频共振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30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遵循教学规律，注重理想信念引领，体现科学精神与工匠精神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资源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教材选用规范科学，按要求使用马工程教材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9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教学文件齐备，格式规范，示范性强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2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教案中要有明确的思政教育目标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2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凝聚各类优质资源，支撑教学目标的实现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74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PMingLiU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PMingLiU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内容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注重学生专业知识、科学思维与职业素养的教育，提高学生专业技能，培养学生科学精神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6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精选讲授内容，体系严谨，逻辑性强，重点、难点突出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74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注意将经济社会发展和专业领域最新成果引入教学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课程发挥思政功能点不少于5个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1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过程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教师精神状态饱满，讲授条理清楚，信息量合理，课堂管理有效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9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紧扣教学大纲，专业知识传授、解决问题能力训练与思想政治教育结合紧密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9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理论与实践相结合，对问题阐述深入浅出，能启发引导学生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5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注重教与学之间的有效互动与交流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0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教学手 段方法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合理运用各种教学媒体，创新教学模式，有机融入思政内容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7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板书及课件设计重点突出，使用效果好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4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因材施教，灵活运用多种教学方法，引导学生用正确的方法认识和解决问题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0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实验实践活动与理论教学互为补充，有良好的实践育人效果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7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评价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专家同 行评价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课程目标有效达成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校内督导评价良好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3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有效挖掘专业知识中的思政元素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7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学生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评教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对本课程接受程度高、喜闻乐见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1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学生评价良好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负责人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坚持“四个相统一”，师德师风良好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组织能力强，带头作用明显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38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专业知识丰富，教学能力强，教学经验丰富，教学特色鲜明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3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团队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建设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师德师风良好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专业、学缘、年龄结构合理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1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教师专业能力、教学态度、授课质量俱佳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9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加分项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特色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本课程改革后的创新点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5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与同类课程相比较特色与亮点</w:t>
            </w:r>
          </w:p>
        </w:tc>
      </w:tr>
    </w:tbl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621CC"/>
    <w:rsid w:val="27D6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5">
    <w:name w:val="Other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2021-03-11T05:35:00Z</dcterms:created>
  <dc:creator>greenolive</dc:creator>
  <cp:lastModifiedBy>greenolive</cp:lastModifiedBy>
  <dcterms:modified xsi:type="dcterms:W3CDTF">2021-03-11T05:35:23Z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