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="0"/>
        <w:rPr>
          <w:rFonts w:hint="default"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4</w:t>
      </w:r>
      <w:bookmarkStart w:id="1" w:name="_GoBack"/>
      <w:bookmarkEnd w:id="1"/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天津市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课程思政示范课程申报书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高校名称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cs="Times New Roman"/>
          <w:sz w:val="32"/>
          <w:szCs w:val="32"/>
          <w:u w:val="single"/>
          <w:lang w:val="en-US" w:eastAsia="zh-CN"/>
        </w:rPr>
        <w:t xml:space="preserve"> 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课程层次（研/本/高职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/</w:t>
      </w:r>
      <w:r>
        <w:rPr>
          <w:rFonts w:hint="eastAsia" w:ascii="仿宋_GB2312" w:eastAsia="仿宋_GB2312" w:cs="Times New Roman" w:hAnsiTheme="minorEastAsia"/>
          <w:color w:val="000000"/>
          <w:sz w:val="32"/>
          <w:szCs w:val="32"/>
          <w:lang w:eastAsia="zh-CN"/>
        </w:rPr>
        <w:t>继续</w:t>
      </w:r>
      <w:r>
        <w:rPr>
          <w:rFonts w:hint="eastAsia" w:ascii="仿宋_GB2312" w:eastAsia="仿宋_GB2312" w:cs="Times New Roman" w:hAnsiTheme="minorEastAsia"/>
          <w:color w:val="000000"/>
          <w:sz w:val="32"/>
          <w:szCs w:val="32"/>
        </w:rPr>
        <w:t>教育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申报类别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）综合素质类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）专业教育类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课程负责人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5"/>
        <w:tabs>
          <w:tab w:val="left" w:pos="6595"/>
        </w:tabs>
        <w:snapToGrid w:val="0"/>
        <w:spacing w:line="660" w:lineRule="exact"/>
        <w:ind w:firstLine="720" w:firstLineChars="225"/>
        <w:rPr>
          <w:rFonts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申报日期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                    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80" w:lineRule="exact"/>
        <w:jc w:val="left"/>
        <w:rPr>
          <w:rFonts w:ascii="仿宋_GB2312" w:hAnsi="Times New Roman" w:eastAsia="仿宋_GB2312" w:cs="Times New Roman"/>
          <w:sz w:val="36"/>
          <w:szCs w:val="36"/>
          <w:lang w:eastAsia="zh-TW"/>
        </w:rPr>
      </w:pPr>
    </w:p>
    <w:p>
      <w:pPr>
        <w:spacing w:line="580" w:lineRule="exact"/>
        <w:jc w:val="center"/>
        <w:rPr>
          <w:rFonts w:ascii="仿宋_GB2312" w:hAnsi="Times New Roman" w:eastAsia="仿宋_GB2312" w:cs="Times New Roman"/>
          <w:sz w:val="32"/>
          <w:szCs w:val="32"/>
          <w:lang w:eastAsia="zh-TW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TW"/>
        </w:rPr>
        <w:t>天津市教育委员会制</w:t>
      </w:r>
    </w:p>
    <w:p>
      <w:pPr>
        <w:spacing w:line="580" w:lineRule="exact"/>
        <w:ind w:firstLine="3520" w:firstLineChars="1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2021年3月</w:t>
      </w:r>
    </w:p>
    <w:p>
      <w:pPr>
        <w:pStyle w:val="6"/>
        <w:spacing w:line="560" w:lineRule="exact"/>
        <w:ind w:left="163"/>
        <w:rPr>
          <w:rFonts w:ascii="Times New Roman" w:hAnsi="Times New Roman" w:cs="Times New Roman"/>
          <w:b/>
          <w:bCs/>
          <w:color w:val="000000"/>
          <w:sz w:val="30"/>
          <w:szCs w:val="30"/>
          <w:lang w:val="en-US" w:eastAsia="zh-CN" w:bidi="en-US"/>
        </w:rPr>
      </w:pPr>
    </w:p>
    <w:p>
      <w:pPr>
        <w:pStyle w:val="6"/>
        <w:spacing w:line="560" w:lineRule="exact"/>
        <w:ind w:left="163"/>
        <w:rPr>
          <w:rFonts w:ascii="Times New Roman" w:hAnsi="Times New Roman" w:cs="Times New Roman"/>
          <w:b/>
          <w:bCs/>
          <w:color w:val="000000"/>
          <w:sz w:val="30"/>
          <w:szCs w:val="30"/>
          <w:lang w:val="en-US" w:eastAsia="zh-CN" w:bidi="en-US"/>
        </w:rPr>
      </w:pPr>
    </w:p>
    <w:p>
      <w:pPr>
        <w:pStyle w:val="6"/>
        <w:spacing w:line="560" w:lineRule="exact"/>
        <w:ind w:left="163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一、</w:t>
      </w:r>
      <w:r>
        <w:rPr>
          <w:rFonts w:ascii="黑体" w:hAnsi="黑体" w:eastAsia="黑体" w:cs="Times New Roman"/>
          <w:color w:val="000000"/>
          <w:sz w:val="30"/>
          <w:szCs w:val="30"/>
        </w:rPr>
        <w:t>课程教学团队情况</w:t>
      </w:r>
    </w:p>
    <w:tbl>
      <w:tblPr>
        <w:tblStyle w:val="2"/>
        <w:tblW w:w="920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392"/>
        <w:gridCol w:w="437"/>
        <w:gridCol w:w="562"/>
        <w:gridCol w:w="1011"/>
        <w:gridCol w:w="538"/>
        <w:gridCol w:w="312"/>
        <w:gridCol w:w="681"/>
        <w:gridCol w:w="453"/>
        <w:gridCol w:w="1111"/>
        <w:gridCol w:w="413"/>
        <w:gridCol w:w="145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负责人基本信 息</w:t>
            </w: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最终学历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3557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560" w:lineRule="exact"/>
              <w:ind w:firstLine="3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en-US" w:eastAsia="en-US" w:bidi="en-US"/>
              </w:rPr>
              <w:t>E-mail</w:t>
            </w:r>
          </w:p>
        </w:tc>
        <w:tc>
          <w:tcPr>
            <w:tcW w:w="653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 团队 教师 情况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2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1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研究专长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任务及分工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0" w:hRule="exac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是否聘请行业专家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专家姓名</w:t>
            </w:r>
          </w:p>
          <w:p>
            <w:pPr>
              <w:pStyle w:val="7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职称及领域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pStyle w:val="6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二、</w:t>
      </w:r>
      <w:r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  <w:t>课程建设成效</w:t>
      </w:r>
    </w:p>
    <w:tbl>
      <w:tblPr>
        <w:tblStyle w:val="3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3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bidi="en-US"/>
              </w:rPr>
              <w:t>2.1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课程建设基本情况（本课程开设的时间、授课专业班级、人数、教学资源等情况）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2.2 课程目标达成情况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2.3 教学手段运用情况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6" w:type="dxa"/>
          <w:trHeight w:val="6940" w:hRule="atLeast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2.4课程与思想政治教育的结合点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</w:t>
      </w:r>
      <w:r>
        <w:rPr>
          <w:rFonts w:ascii="黑体" w:hAnsi="黑体" w:eastAsia="黑体" w:cs="Times New Roman"/>
          <w:sz w:val="32"/>
          <w:szCs w:val="32"/>
        </w:rPr>
        <w:t>课程评价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2" w:hRule="atLeast"/>
          <w:jc w:val="center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bookmarkStart w:id="0" w:name="_Hlk65239640"/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专家同行以及学生对课程的评价</w:t>
            </w:r>
          </w:p>
        </w:tc>
      </w:tr>
      <w:bookmarkEnd w:id="0"/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</w:t>
      </w:r>
      <w:r>
        <w:rPr>
          <w:rFonts w:ascii="黑体" w:hAnsi="黑体" w:eastAsia="黑体" w:cs="Times New Roman"/>
          <w:sz w:val="32"/>
          <w:szCs w:val="32"/>
        </w:rPr>
        <w:t>教学特色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1" w:hRule="atLeast"/>
          <w:jc w:val="center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课程改革后创新点、与同类课程相比较特色与亮点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</w:t>
      </w:r>
      <w:r>
        <w:rPr>
          <w:rFonts w:ascii="黑体" w:hAnsi="黑体" w:eastAsia="黑体" w:cs="Times New Roman"/>
          <w:sz w:val="32"/>
          <w:szCs w:val="32"/>
        </w:rPr>
        <w:t>学校意见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7" w:hRule="atLeast"/>
          <w:jc w:val="center"/>
        </w:trPr>
        <w:tc>
          <w:tcPr>
            <w:tcW w:w="8733" w:type="dxa"/>
          </w:tcPr>
          <w:p>
            <w:pPr>
              <w:pStyle w:val="5"/>
              <w:spacing w:line="560" w:lineRule="exact"/>
              <w:ind w:firstLine="0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学校党委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政治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审查意见</w:t>
            </w:r>
          </w:p>
          <w:p>
            <w:pPr>
              <w:pStyle w:val="5"/>
              <w:spacing w:line="560" w:lineRule="exact"/>
              <w:ind w:firstLine="0"/>
              <w:rPr>
                <w:rFonts w:ascii="Times New Roman" w:hAnsi="Times New Roman" w:eastAsia="PMingLiU" w:cs="Times New Roman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该课程内容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及的申报材料无危害国家安全、涉密及其他不适宜公开传播的内容，思想导向正确，不存在思想性问题。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校党委公章</w:t>
            </w:r>
          </w:p>
          <w:p>
            <w:pPr>
              <w:spacing w:line="560" w:lineRule="exact"/>
              <w:ind w:firstLine="5760" w:firstLineChars="18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年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15D14"/>
    <w:rsid w:val="1AA1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Table caption|1"/>
    <w:basedOn w:val="1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7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2021-03-11T05:37:00Z</dcterms:created>
  <dc:creator>greenolive</dc:creator>
  <cp:lastModifiedBy>greenolive</cp:lastModifiedBy>
  <dcterms:modified xsi:type="dcterms:W3CDTF">2021-03-11T05:38:27Z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