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2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国家</w:t>
      </w:r>
      <w:r>
        <w:rPr>
          <w:rFonts w:ascii="方正小标宋简体" w:hAnsi="方正小标宋_GBK" w:eastAsia="方正小标宋简体" w:cs="Times New Roman"/>
          <w:kern w:val="0"/>
          <w:sz w:val="44"/>
          <w:szCs w:val="44"/>
        </w:rPr>
        <w:t>级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（2019年）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</w:rPr>
        <w:t xml:space="preserve">申报类型：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线上线下混合式一流课程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中华人民共和国</w:t>
      </w:r>
      <w:r>
        <w:rPr>
          <w:rFonts w:ascii="黑体" w:hAnsi="黑体" w:eastAsia="黑体"/>
          <w:sz w:val="32"/>
          <w:szCs w:val="32"/>
        </w:rPr>
        <w:t>教育部制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二○一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十一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申报书与附件材料一并按每门课程单独装订成册，一式两份。</w:t>
      </w:r>
    </w:p>
    <w:p>
      <w:pPr>
        <w:pStyle w:val="5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（一）线下一流课程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（二）线上线下混合式一流课程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（三）社会实践一流课程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课程目标（</w:t>
      </w:r>
      <w:r>
        <w:rPr>
          <w:rFonts w:ascii="Times New Roman" w:hAnsi="Times New Roman" w:eastAsia="黑体" w:cs="Times New Roman"/>
          <w:sz w:val="24"/>
          <w:szCs w:val="24"/>
        </w:rPr>
        <w:t>300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分钟。]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5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学校教指委或学术委员会课程评价意见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5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学校政治审查意见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申报学校承诺意见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中央部门教育司（局）或省级教育行政部门推荐意见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6FF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0</TotalTime>
  <ScaleCrop>false</ScaleCrop>
  <LinksUpToDate>false</LinksUpToDate>
  <CharactersWithSpaces>3187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Ada</cp:lastModifiedBy>
  <dcterms:modified xsi:type="dcterms:W3CDTF">2019-11-28T02:55:33Z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